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F860AA" w:rsidRDefault="00373318" w:rsidP="002D0A57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F860AA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F860AA" w:rsidRDefault="00373318" w:rsidP="002D0A5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>6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F860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F860AA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F860AA">
        <w:rPr>
          <w:rFonts w:ascii="Times New Roman" w:hAnsi="Times New Roman" w:cs="Times New Roman"/>
          <w:sz w:val="24"/>
          <w:szCs w:val="24"/>
        </w:rPr>
        <w:t>6</w:t>
      </w:r>
      <w:r w:rsidR="00373318" w:rsidRPr="00F860AA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F860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F860AA" w:rsidRDefault="0037331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F860AA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октября 2021 г., протокол № 9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F860AA" w:rsidRDefault="008C0768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57" w:rsidRPr="00F860AA" w:rsidRDefault="002D0A5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793069" w:rsidRPr="00F860AA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F860AA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86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«Процессы и аппараты в биотехнологии» Экзамен </w:t>
      </w:r>
      <w:r w:rsidR="00274446" w:rsidRPr="00F860A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86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F860AA" w:rsidRDefault="00A92C29" w:rsidP="002D0A57">
      <w:pPr>
        <w:pStyle w:val="a3"/>
        <w:spacing w:line="360" w:lineRule="auto"/>
        <w:ind w:firstLine="709"/>
      </w:pPr>
      <w:r w:rsidRPr="00F860AA">
        <w:t xml:space="preserve">Проводится в СДО </w:t>
      </w:r>
      <w:proofErr w:type="spellStart"/>
      <w:r w:rsidRPr="00F860AA">
        <w:t>Moodle</w:t>
      </w:r>
      <w:proofErr w:type="spellEnd"/>
      <w:r w:rsidR="005B54BF" w:rsidRPr="00F860AA">
        <w:t>. Формат экзамена</w:t>
      </w:r>
      <w:r w:rsidRPr="00F860AA">
        <w:t xml:space="preserve"> – синхронный.</w:t>
      </w: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F860AA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67B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069" w:rsidRPr="00F860AA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67B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F860AA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F860AA">
        <w:rPr>
          <w:rFonts w:ascii="Times New Roman" w:hAnsi="Times New Roman" w:cs="Times New Roman"/>
          <w:sz w:val="24"/>
          <w:szCs w:val="24"/>
        </w:rPr>
        <w:t>База тестовых вопросов</w:t>
      </w:r>
      <w:r w:rsidR="00793069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F860AA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F860AA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F860AA">
        <w:rPr>
          <w:rFonts w:ascii="Times New Roman" w:hAnsi="Times New Roman" w:cs="Times New Roman"/>
          <w:sz w:val="24"/>
          <w:szCs w:val="24"/>
        </w:rPr>
        <w:t>верно/неверно</w:t>
      </w:r>
      <w:r w:rsidRPr="00F860AA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F860AA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0AA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F860AA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F860AA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93069" w:rsidRPr="00F860AA" w:rsidRDefault="00793069" w:rsidP="002D0A57">
      <w:pPr>
        <w:spacing w:after="0" w:line="360" w:lineRule="auto"/>
        <w:ind w:firstLine="709"/>
        <w:jc w:val="both"/>
        <w:rPr>
          <w:rStyle w:val="typesummary"/>
          <w:rFonts w:ascii="Times New Roman" w:hAnsi="Times New Roman" w:cs="Times New Roman"/>
          <w:sz w:val="24"/>
          <w:szCs w:val="24"/>
        </w:rPr>
      </w:pPr>
    </w:p>
    <w:p w:rsidR="002C367B" w:rsidRPr="00F860AA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F860AA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F860AA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F860AA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F860A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proofErr w:type="gramStart"/>
      <w:r w:rsidRPr="00F860AA">
        <w:rPr>
          <w:rFonts w:ascii="Times New Roman" w:hAnsi="Times New Roman" w:cs="Times New Roman"/>
          <w:b/>
          <w:sz w:val="24"/>
          <w:szCs w:val="24"/>
        </w:rPr>
        <w:t>СДО</w:t>
      </w:r>
      <w:proofErr w:type="gramEnd"/>
      <w:r w:rsidRPr="00F860AA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b/>
          <w:sz w:val="24"/>
          <w:szCs w:val="24"/>
        </w:rPr>
        <w:t>.</w:t>
      </w:r>
    </w:p>
    <w:p w:rsidR="002C367B" w:rsidRPr="00F860AA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F860AA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F860AA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.</w:t>
      </w:r>
    </w:p>
    <w:p w:rsidR="002C367B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793069" w:rsidRPr="00F860AA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F860AA" w:rsidRDefault="002C367B" w:rsidP="002D0A57">
      <w:pPr>
        <w:pStyle w:val="1"/>
        <w:spacing w:line="360" w:lineRule="auto"/>
        <w:ind w:left="0" w:firstLine="709"/>
        <w:rPr>
          <w:lang w:val="kk-KZ"/>
        </w:rPr>
      </w:pPr>
      <w:r w:rsidRPr="00F860AA">
        <w:t>Темы итогового экзамена  по дисциплине</w:t>
      </w:r>
      <w:r w:rsidRPr="00F860AA">
        <w:t xml:space="preserve"> </w:t>
      </w:r>
      <w:r w:rsidRPr="00F860AA">
        <w:rPr>
          <w:lang w:val="kk-KZ"/>
        </w:rPr>
        <w:t>«Процессы и аппараты в биотехнологии»</w:t>
      </w:r>
    </w:p>
    <w:p w:rsidR="002C367B" w:rsidRPr="00F860AA" w:rsidRDefault="002C367B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>Введение. Предмет и задачи промышленной биотехнологии (процессы и аппараты</w:t>
      </w:r>
      <w:r w:rsidRPr="00F860AA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F860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</w:t>
      </w:r>
      <w:r w:rsidR="007930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860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>роцессы и аппараты в биотехнологии</w:t>
      </w:r>
      <w:r w:rsidRPr="00F860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0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Ее связь с биологическими и медицинскими дисциплинами. Значение </w:t>
      </w:r>
      <w:r w:rsidRPr="00F860AA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F860AA">
        <w:rPr>
          <w:rFonts w:ascii="Times New Roman" w:eastAsia="Times New Roman" w:hAnsi="Times New Roman" w:cs="Times New Roman"/>
          <w:sz w:val="24"/>
          <w:szCs w:val="24"/>
        </w:rPr>
        <w:t>отехнологических продуктов</w:t>
      </w:r>
      <w:r w:rsidRPr="00F860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860A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для здравоохранения, сельского хозяйства, охраны окружающей среды, пищевой и перерабатывающей промышленности.</w:t>
      </w:r>
    </w:p>
    <w:p w:rsidR="002C367B" w:rsidRPr="00F860AA" w:rsidRDefault="002C367B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>Процессы и аппараты в биотехнологии.</w:t>
      </w:r>
      <w:r w:rsidR="002D0A57" w:rsidRPr="00F86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A57" w:rsidRPr="00F860AA">
        <w:rPr>
          <w:rFonts w:ascii="Times New Roman" w:hAnsi="Times New Roman" w:cs="Times New Roman"/>
          <w:bCs/>
          <w:sz w:val="24"/>
          <w:szCs w:val="24"/>
        </w:rPr>
        <w:t>Типовые технологические приемы и аппаратурное оформление.</w:t>
      </w:r>
    </w:p>
    <w:p w:rsidR="002C367B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t>Технологические линии, стадии и этапы производства</w:t>
      </w:r>
      <w:r w:rsidRPr="00F860AA">
        <w:t>.</w:t>
      </w:r>
      <w:r w:rsidRPr="00F860AA">
        <w:rPr>
          <w:b w:val="0"/>
        </w:rPr>
        <w:t xml:space="preserve"> </w:t>
      </w:r>
      <w:r w:rsidRPr="00F860AA">
        <w:rPr>
          <w:b w:val="0"/>
        </w:rPr>
        <w:t>Термическая и периодическая стерилизация питательных сред, процесс скашивания и хранения. Аппараты для культивирования и хранения.</w:t>
      </w:r>
    </w:p>
    <w:p w:rsidR="002D0A57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t>Требование к оборудованию процессов в биотехнологии и методы их совершенствования</w:t>
      </w:r>
      <w:r w:rsidRPr="00F860AA">
        <w:t xml:space="preserve">. </w:t>
      </w:r>
      <w:r w:rsidRPr="00F860AA">
        <w:rPr>
          <w:b w:val="0"/>
        </w:rPr>
        <w:t>Непрерывная термическая стерилизация питательных сред и холодная стерилизация питательных сред. Стерилизующая фильтрация.</w:t>
      </w:r>
    </w:p>
    <w:p w:rsidR="002D0A57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lastRenderedPageBreak/>
        <w:t xml:space="preserve">Очистка и стерилизация воздуха, промышленная система очистки и стерилизации воздуха. Стерилизация воздуха, выходящего из </w:t>
      </w:r>
      <w:proofErr w:type="spellStart"/>
      <w:r w:rsidRPr="00F860AA">
        <w:t>биореактора</w:t>
      </w:r>
      <w:proofErr w:type="spellEnd"/>
      <w:r w:rsidRPr="00F860AA">
        <w:t>.</w:t>
      </w:r>
      <w:r w:rsidRPr="00F860AA">
        <w:t xml:space="preserve"> </w:t>
      </w:r>
      <w:r w:rsidRPr="00F860AA">
        <w:rPr>
          <w:b w:val="0"/>
        </w:rPr>
        <w:t>Аппаратурное оформление процессов очистки и стерилизации воздуха. Расчет.</w:t>
      </w:r>
    </w:p>
    <w:p w:rsidR="002D0A57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t>Процессы культивирования и аппараты для культивирования микроорганизмов. Классификация способов и систем культивирования микроорганизмов. Технология глубинного способа культивирования микроорганизмов в реакторе.</w:t>
      </w:r>
      <w:r w:rsidRPr="00F860AA">
        <w:t xml:space="preserve"> </w:t>
      </w:r>
      <w:r w:rsidRPr="00F860AA">
        <w:rPr>
          <w:b w:val="0"/>
        </w:rPr>
        <w:t xml:space="preserve">Параметры роста. Периодическое глубинное, непрерывное </w:t>
      </w:r>
      <w:proofErr w:type="spellStart"/>
      <w:r w:rsidRPr="00F860AA">
        <w:rPr>
          <w:b w:val="0"/>
        </w:rPr>
        <w:t>хемостатное</w:t>
      </w:r>
      <w:proofErr w:type="spellEnd"/>
      <w:r w:rsidRPr="00F860AA">
        <w:rPr>
          <w:b w:val="0"/>
        </w:rPr>
        <w:t xml:space="preserve"> и </w:t>
      </w:r>
      <w:proofErr w:type="spellStart"/>
      <w:r w:rsidRPr="00F860AA">
        <w:rPr>
          <w:b w:val="0"/>
        </w:rPr>
        <w:t>турбидостатное</w:t>
      </w:r>
      <w:proofErr w:type="spellEnd"/>
      <w:r w:rsidRPr="00F860AA">
        <w:rPr>
          <w:b w:val="0"/>
        </w:rPr>
        <w:t xml:space="preserve"> культивирование микроорганизмов. Аппаратурное оформление процессов.</w:t>
      </w:r>
    </w:p>
    <w:p w:rsidR="002D0A57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  <w:lang w:val="kk-KZ"/>
        </w:rPr>
      </w:pPr>
      <w:r w:rsidRPr="00F860AA">
        <w:rPr>
          <w:lang w:val="kk-KZ" w:eastAsia="ar-SA"/>
        </w:rPr>
        <w:t>Автоматизированный контроль и управление биотехнологическими процессами. Биореакторы для промышленной биотехнологии, параметры контроля и регулирование технологических процессов.</w:t>
      </w:r>
      <w:r w:rsidRPr="00F860AA">
        <w:rPr>
          <w:lang w:val="kk-KZ" w:eastAsia="ar-SA"/>
        </w:rPr>
        <w:t xml:space="preserve"> </w:t>
      </w:r>
      <w:r w:rsidRPr="00F860AA">
        <w:rPr>
          <w:b w:val="0"/>
          <w:lang w:val="kk-KZ"/>
        </w:rPr>
        <w:t>Отбор штаммов продуцентов и работа с ними.</w:t>
      </w:r>
    </w:p>
    <w:p w:rsidR="002D0A57" w:rsidRPr="00F860AA" w:rsidRDefault="002D0A57" w:rsidP="002D0A57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rPr>
          <w:lang w:val="kk-KZ" w:eastAsia="ar-SA"/>
        </w:rPr>
        <w:t>Культивирование клеток животных, вирусов и способы выращивания клеточных культур в промышленных условиях. Гибридомная технология и моноклональные антитела.</w:t>
      </w:r>
      <w:r w:rsidRPr="00F860AA">
        <w:rPr>
          <w:lang w:val="kk-KZ" w:eastAsia="ar-SA"/>
        </w:rPr>
        <w:t xml:space="preserve"> </w:t>
      </w:r>
      <w:r w:rsidRPr="00F860AA">
        <w:rPr>
          <w:b w:val="0"/>
        </w:rPr>
        <w:t>Цикл размножения вирусов и накопление вирусов в организме животных. Выделение, очистка и концентрирование вирусов.</w:t>
      </w:r>
    </w:p>
    <w:p w:rsidR="002D0A57" w:rsidRPr="00F860AA" w:rsidRDefault="002D0A57" w:rsidP="00793069">
      <w:pPr>
        <w:pStyle w:val="1"/>
        <w:spacing w:line="360" w:lineRule="auto"/>
        <w:ind w:left="0" w:firstLine="709"/>
        <w:jc w:val="both"/>
      </w:pPr>
      <w:r w:rsidRPr="00F860AA">
        <w:rPr>
          <w:lang w:val="kk-KZ" w:eastAsia="ar-SA"/>
        </w:rPr>
        <w:t>Выделение и очистка при производстве биопрепаратов, центрифугирование, сепарирование, экстракция, адсорбция, кристаллизация. Упаривание и современные тонкие методы разделения вещества.</w:t>
      </w:r>
      <w:r w:rsidRPr="00F860AA">
        <w:rPr>
          <w:lang w:val="kk-KZ" w:eastAsia="ar-SA"/>
        </w:rPr>
        <w:t xml:space="preserve"> </w:t>
      </w:r>
      <w:r w:rsidRPr="00F860AA">
        <w:rPr>
          <w:b w:val="0"/>
          <w:lang w:val="kk-KZ" w:eastAsia="ar-SA"/>
        </w:rPr>
        <w:t>Методы выделения и очистки. Отделение клеток и нераствормых веществ.</w:t>
      </w:r>
    </w:p>
    <w:p w:rsidR="002C367B" w:rsidRPr="00F860AA" w:rsidRDefault="002D0A57" w:rsidP="00793069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rPr>
          <w:lang w:val="kk-KZ" w:eastAsia="ar-SA"/>
        </w:rPr>
        <w:t>Консервирование и хранение биопрепаратов. Аппараты для сублимационной (лиофильная) сушки и защитные среды высушивания.</w:t>
      </w:r>
      <w:r w:rsidRPr="00F860AA">
        <w:rPr>
          <w:lang w:val="kk-KZ" w:eastAsia="ar-SA"/>
        </w:rPr>
        <w:t xml:space="preserve"> </w:t>
      </w:r>
      <w:r w:rsidRPr="00F860AA">
        <w:rPr>
          <w:b w:val="0"/>
        </w:rPr>
        <w:t>Методы высушивания и консервация клеточных культур</w:t>
      </w:r>
      <w:r w:rsidRPr="00F860AA">
        <w:rPr>
          <w:b w:val="0"/>
        </w:rPr>
        <w:t>.</w:t>
      </w:r>
    </w:p>
    <w:p w:rsidR="002D0A57" w:rsidRPr="00F860AA" w:rsidRDefault="002D0A57" w:rsidP="00793069">
      <w:pPr>
        <w:pStyle w:val="a5"/>
        <w:snapToGrid w:val="0"/>
        <w:spacing w:line="360" w:lineRule="auto"/>
        <w:ind w:left="0" w:firstLine="709"/>
        <w:rPr>
          <w:sz w:val="24"/>
          <w:szCs w:val="24"/>
          <w:lang w:val="kk-KZ" w:eastAsia="ar-SA"/>
        </w:rPr>
      </w:pPr>
      <w:r w:rsidRPr="00F860AA">
        <w:rPr>
          <w:bCs/>
          <w:sz w:val="24"/>
          <w:szCs w:val="24"/>
          <w:lang w:val="kk-KZ" w:eastAsia="ar-SA"/>
        </w:rPr>
        <w:t xml:space="preserve">Технологические линии противобактериальных и противовирусных вакцин. </w:t>
      </w:r>
      <w:r w:rsidRPr="00F860AA">
        <w:rPr>
          <w:sz w:val="24"/>
          <w:szCs w:val="24"/>
        </w:rPr>
        <w:t>Аппаратурное оформление технологических процессов.</w:t>
      </w:r>
      <w:r w:rsidRPr="00F860AA">
        <w:rPr>
          <w:sz w:val="24"/>
          <w:szCs w:val="24"/>
        </w:rPr>
        <w:t xml:space="preserve"> </w:t>
      </w:r>
      <w:r w:rsidRPr="00F860AA">
        <w:rPr>
          <w:sz w:val="24"/>
          <w:szCs w:val="24"/>
        </w:rPr>
        <w:t>Основные этапы производства противовирусных и противомикробных вакцин.</w:t>
      </w:r>
      <w:r w:rsidR="00793069">
        <w:rPr>
          <w:sz w:val="24"/>
          <w:szCs w:val="24"/>
        </w:rPr>
        <w:t xml:space="preserve"> </w:t>
      </w:r>
      <w:r w:rsidRPr="00F860AA">
        <w:rPr>
          <w:sz w:val="24"/>
          <w:szCs w:val="24"/>
        </w:rPr>
        <w:t>Технология приготовления бактериофагов.</w:t>
      </w:r>
    </w:p>
    <w:p w:rsidR="002D0A57" w:rsidRPr="00F860AA" w:rsidRDefault="002D0A57" w:rsidP="00793069">
      <w:pPr>
        <w:pStyle w:val="1"/>
        <w:spacing w:line="360" w:lineRule="auto"/>
        <w:ind w:left="0" w:firstLine="709"/>
        <w:jc w:val="both"/>
        <w:rPr>
          <w:b w:val="0"/>
          <w:lang w:val="kk-KZ" w:eastAsia="ar-SA"/>
        </w:rPr>
      </w:pPr>
      <w:r w:rsidRPr="00F860AA">
        <w:rPr>
          <w:lang w:val="kk-KZ" w:eastAsia="ar-SA"/>
        </w:rPr>
        <w:t xml:space="preserve">Технологические линии производства  пробиотиков. </w:t>
      </w:r>
      <w:r w:rsidRPr="00F860AA">
        <w:t>Аппаратурное оформление технологических процессов.</w:t>
      </w:r>
      <w:r w:rsidRPr="00F860AA">
        <w:t xml:space="preserve"> </w:t>
      </w:r>
      <w:r w:rsidRPr="00F860AA">
        <w:rPr>
          <w:lang w:val="kk-KZ" w:eastAsia="ar-SA"/>
        </w:rPr>
        <w:t>Те</w:t>
      </w:r>
      <w:r w:rsidRPr="00F860AA">
        <w:rPr>
          <w:b w:val="0"/>
          <w:lang w:val="kk-KZ" w:eastAsia="ar-SA"/>
        </w:rPr>
        <w:t>хнология производства бифидумбактерина пробиотиков бактерий бациллиуса и молочнокислых бактерий.</w:t>
      </w:r>
      <w:r w:rsidRPr="00F860AA">
        <w:rPr>
          <w:b w:val="0"/>
          <w:lang w:val="kk-KZ" w:eastAsia="ar-SA"/>
        </w:rPr>
        <w:t xml:space="preserve"> </w:t>
      </w:r>
      <w:r w:rsidRPr="00F860AA">
        <w:rPr>
          <w:lang w:eastAsia="ar-SA"/>
        </w:rPr>
        <w:t xml:space="preserve">Технологические линии производства антибиотиков. </w:t>
      </w:r>
      <w:r w:rsidRPr="00F860AA">
        <w:t>Аппаратурное оформление технологических процессов.</w:t>
      </w:r>
      <w:r w:rsidRPr="00F860AA">
        <w:t xml:space="preserve"> </w:t>
      </w:r>
      <w:r w:rsidRPr="00F860AA">
        <w:rPr>
          <w:b w:val="0"/>
          <w:lang w:val="kk-KZ" w:eastAsia="ar-SA"/>
        </w:rPr>
        <w:t>Продуценты вторичных метаболитов антибиотиков.</w:t>
      </w:r>
      <w:r w:rsidRPr="00F860AA">
        <w:rPr>
          <w:b w:val="0"/>
          <w:lang w:val="kk-KZ" w:eastAsia="ar-SA"/>
        </w:rPr>
        <w:t xml:space="preserve"> </w:t>
      </w:r>
      <w:r w:rsidRPr="00F860AA">
        <w:rPr>
          <w:lang w:val="kk-KZ" w:eastAsia="ar-SA"/>
        </w:rPr>
        <w:t xml:space="preserve">Технологические линии производства  ферментных препаратов и витаминов. </w:t>
      </w:r>
      <w:r w:rsidRPr="00F860AA">
        <w:t>Аппаратурное оформление технологических процессов.</w:t>
      </w:r>
      <w:r w:rsidRPr="00F860AA">
        <w:t xml:space="preserve"> </w:t>
      </w:r>
      <w:r w:rsidRPr="00F860AA">
        <w:rPr>
          <w:b w:val="0"/>
          <w:lang w:val="kk-KZ" w:eastAsia="ar-SA"/>
        </w:rPr>
        <w:t>Технологические линии производства  витаминов и ферментов.</w:t>
      </w:r>
      <w:r w:rsidRPr="00F860AA">
        <w:rPr>
          <w:b w:val="0"/>
          <w:lang w:val="kk-KZ" w:eastAsia="ar-SA"/>
        </w:rPr>
        <w:t xml:space="preserve"> </w:t>
      </w:r>
    </w:p>
    <w:p w:rsidR="002D0A57" w:rsidRPr="00F860AA" w:rsidRDefault="002D0A57" w:rsidP="00793069">
      <w:pPr>
        <w:pStyle w:val="1"/>
        <w:spacing w:line="360" w:lineRule="auto"/>
        <w:ind w:left="0" w:firstLine="709"/>
        <w:jc w:val="both"/>
        <w:rPr>
          <w:b w:val="0"/>
        </w:rPr>
      </w:pPr>
      <w:r w:rsidRPr="00F860AA">
        <w:rPr>
          <w:lang w:val="kk-KZ" w:eastAsia="ar-SA"/>
        </w:rPr>
        <w:t>Розлив, этикетировка и упаковка готовой продукции</w:t>
      </w:r>
      <w:r w:rsidRPr="00F860AA">
        <w:rPr>
          <w:lang w:val="kk-KZ" w:eastAsia="ar-SA"/>
        </w:rPr>
        <w:t xml:space="preserve">. </w:t>
      </w:r>
      <w:r w:rsidRPr="00F860AA">
        <w:rPr>
          <w:b w:val="0"/>
          <w:lang w:val="kk-KZ" w:eastAsia="ar-SA"/>
        </w:rPr>
        <w:t>Моечные машины, оборудование и машины для розлива. Этикетирование. Упаковка.</w:t>
      </w:r>
    </w:p>
    <w:p w:rsidR="00793069" w:rsidRDefault="00793069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069" w:rsidRDefault="00793069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069" w:rsidRDefault="00793069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буквен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Цифро-вой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(%-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традиционной системе</w:t>
            </w: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Отличн</w:t>
            </w: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Хорошо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</w:t>
            </w:r>
            <w:bookmarkStart w:id="0" w:name="_GoBack"/>
            <w:bookmarkEnd w:id="0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793069" w:rsidRPr="00793069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Удовлетворительно 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793069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F860AA" w:rsidRDefault="005B54BF" w:rsidP="002D0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0AA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F860AA">
        <w:rPr>
          <w:rFonts w:ascii="Times New Roman" w:hAnsi="Times New Roman"/>
          <w:sz w:val="24"/>
          <w:szCs w:val="24"/>
        </w:rPr>
        <w:t xml:space="preserve"> 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860AA">
        <w:rPr>
          <w:rFonts w:ascii="Times New Roman" w:hAnsi="Times New Roman"/>
          <w:sz w:val="24"/>
          <w:szCs w:val="24"/>
        </w:rPr>
        <w:t>.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860AA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F860AA" w:rsidRDefault="005B54BF" w:rsidP="002D0A57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F860AA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AA" w:rsidRPr="00F860AA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F860AA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2C367B"/>
    <w:rsid w:val="002D0A57"/>
    <w:rsid w:val="00373318"/>
    <w:rsid w:val="003C3AB4"/>
    <w:rsid w:val="005B54BF"/>
    <w:rsid w:val="00793069"/>
    <w:rsid w:val="008C0768"/>
    <w:rsid w:val="00A92C29"/>
    <w:rsid w:val="00C16F08"/>
    <w:rsid w:val="00CB6087"/>
    <w:rsid w:val="00CC01C3"/>
    <w:rsid w:val="00DE36AF"/>
    <w:rsid w:val="00E57209"/>
    <w:rsid w:val="00F5498E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18</cp:revision>
  <dcterms:created xsi:type="dcterms:W3CDTF">2021-04-02T13:32:00Z</dcterms:created>
  <dcterms:modified xsi:type="dcterms:W3CDTF">2021-11-23T06:05:00Z</dcterms:modified>
</cp:coreProperties>
</file>